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№8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настройке динамического распределения IP-адресов посредством протокола DHCP (Dynamic Host Configuration</w:t>
      </w:r>
      <w:r>
        <w:t xml:space="preserve"> </w:t>
      </w:r>
      <w:r>
        <w:t xml:space="preserve">Protocol) [5] в локальной сети.</w:t>
      </w:r>
    </w:p>
    <w:bookmarkEnd w:id="20"/>
    <w:bookmarkStart w:id="6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Разместим и подключим сервер (рис. 1).</w:t>
      </w:r>
    </w:p>
    <w:bookmarkStart w:id="24" w:name="fig:001"/>
    <w:p>
      <w:pPr>
        <w:pStyle w:val="CaptionedFigure"/>
      </w:pPr>
      <w:r>
        <w:drawing>
          <wp:inline>
            <wp:extent cx="3733800" cy="2640477"/>
            <wp:effectExtent b="0" l="0" r="0" t="0"/>
            <wp:docPr descr="Рис. 1: прямым кабелем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0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прямым кабелем</w:t>
      </w:r>
    </w:p>
    <w:bookmarkEnd w:id="24"/>
    <w:p>
      <w:pPr>
        <w:pStyle w:val="BodyText"/>
      </w:pPr>
      <w:r>
        <w:t xml:space="preserve">Подключаем коммутатор и активируем порт (рис. 2).</w:t>
      </w:r>
    </w:p>
    <w:bookmarkStart w:id="28" w:name="fig:002"/>
    <w:p>
      <w:pPr>
        <w:pStyle w:val="CaptionedFigure"/>
      </w:pPr>
      <w:r>
        <w:drawing>
          <wp:inline>
            <wp:extent cx="3733800" cy="2304358"/>
            <wp:effectExtent b="0" l="0" r="0" t="0"/>
            <wp:docPr descr="Рис. 2: замечательно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4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замечательно</w:t>
      </w:r>
    </w:p>
    <w:bookmarkEnd w:id="28"/>
    <w:p>
      <w:pPr>
        <w:pStyle w:val="BodyText"/>
      </w:pPr>
      <w:r>
        <w:t xml:space="preserve">Присваиваем статический адрес (рис. 3).</w:t>
      </w:r>
    </w:p>
    <w:bookmarkStart w:id="32" w:name="fig:003"/>
    <w:p>
      <w:pPr>
        <w:pStyle w:val="CaptionedFigure"/>
      </w:pPr>
      <w:r>
        <w:drawing>
          <wp:inline>
            <wp:extent cx="3733800" cy="2064291"/>
            <wp:effectExtent b="0" l="0" r="0" t="0"/>
            <wp:docPr descr="Рис. 3: 10.128.0.5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4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10.128.0.5</w:t>
      </w:r>
    </w:p>
    <w:bookmarkEnd w:id="32"/>
    <w:p>
      <w:pPr>
        <w:pStyle w:val="BodyText"/>
      </w:pPr>
      <w:r>
        <w:t xml:space="preserve">Настроим сервис DNS по нашим нуждам (рис. 4).</w:t>
      </w:r>
    </w:p>
    <w:bookmarkStart w:id="36" w:name="fig:004"/>
    <w:p>
      <w:pPr>
        <w:pStyle w:val="CaptionedFigure"/>
      </w:pPr>
      <w:r>
        <w:drawing>
          <wp:inline>
            <wp:extent cx="3733800" cy="2360563"/>
            <wp:effectExtent b="0" l="0" r="0" t="0"/>
            <wp:docPr descr="Рис. 4: добавляем домены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0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добавляем домены</w:t>
      </w:r>
    </w:p>
    <w:bookmarkEnd w:id="36"/>
    <w:p>
      <w:pPr>
        <w:pStyle w:val="BodyText"/>
      </w:pPr>
      <w:r>
        <w:t xml:space="preserve">В целях экономии времени переписываем все команды на блокнот и вставляем в наш маршрутизатор(рис. 5).</w:t>
      </w:r>
    </w:p>
    <w:bookmarkStart w:id="40" w:name="fig:005"/>
    <w:p>
      <w:pPr>
        <w:pStyle w:val="CaptionedFigure"/>
      </w:pPr>
      <w:r>
        <w:drawing>
          <wp:inline>
            <wp:extent cx="3733800" cy="5368763"/>
            <wp:effectExtent b="0" l="0" r="0" t="0"/>
            <wp:docPr descr="Рис. 5: это полная конфигурация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68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это полная конфигурация</w:t>
      </w:r>
    </w:p>
    <w:bookmarkEnd w:id="40"/>
    <w:p>
      <w:pPr>
        <w:pStyle w:val="BodyText"/>
      </w:pPr>
      <w:r>
        <w:t xml:space="preserve">Информация о пулах DHCP (рис.</w:t>
      </w:r>
      <w:r>
        <w:t xml:space="preserve"> </w:t>
      </w:r>
      <w:r>
        <w:rPr>
          <w:b/>
          <w:bCs/>
        </w:rPr>
        <w:t xml:space="preserve">¿fig:006?</w:t>
      </w:r>
      <w:r>
        <w:t xml:space="preserve">).</w:t>
      </w:r>
    </w:p>
    <w:p>
      <w:pPr>
        <w:pStyle w:val="BodyText"/>
      </w:pPr>
      <w:bookmarkStart w:id="44" w:name="fig:006"/>
      <w:r>
        <w:drawing>
          <wp:inline>
            <wp:extent cx="3733800" cy="161679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6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r>
        <w:t xml:space="preserve">Информация об привязках выданных адресов: (рис.</w:t>
      </w:r>
      <w:r>
        <w:t xml:space="preserve"> </w:t>
      </w:r>
      <w:r>
        <w:rPr>
          <w:b/>
          <w:bCs/>
        </w:rPr>
        <w:t xml:space="preserve">¿fig:007?</w:t>
      </w:r>
      <w:r>
        <w:t xml:space="preserve">).</w:t>
      </w:r>
    </w:p>
    <w:p>
      <w:pPr>
        <w:pStyle w:val="BodyText"/>
      </w:pPr>
      <w:bookmarkStart w:id="48" w:name="fig:007"/>
      <w:r>
        <w:drawing>
          <wp:inline>
            <wp:extent cx="3733800" cy="1616796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6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r>
        <w:t xml:space="preserve">Меняем всем устройствам статическую адресацию на динамическую (рис. 6).</w:t>
      </w:r>
    </w:p>
    <w:bookmarkStart w:id="52" w:name="fig:008"/>
    <w:p>
      <w:pPr>
        <w:pStyle w:val="CaptionedFigure"/>
      </w:pPr>
      <w:r>
        <w:drawing>
          <wp:inline>
            <wp:extent cx="3733800" cy="1974017"/>
            <wp:effectExtent b="0" l="0" r="0" t="0"/>
            <wp:docPr descr="Рис. 6: вставляем содержимое блокнота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4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вставляем содержимое блокнота</w:t>
      </w:r>
    </w:p>
    <w:bookmarkEnd w:id="52"/>
    <w:p>
      <w:pPr>
        <w:pStyle w:val="BodyText"/>
      </w:pPr>
      <w:r>
        <w:t xml:space="preserve">Наблюдаем за присвоением адреса ДК на донской (рис. 7).</w:t>
      </w:r>
    </w:p>
    <w:bookmarkStart w:id="56" w:name="fig:009"/>
    <w:p>
      <w:pPr>
        <w:pStyle w:val="CaptionedFigure"/>
      </w:pPr>
      <w:r>
        <w:drawing>
          <wp:inline>
            <wp:extent cx="3733800" cy="1974017"/>
            <wp:effectExtent b="0" l="0" r="0" t="0"/>
            <wp:docPr descr="Рис. 7: успешно присвоено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4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успешно присвоено</w:t>
      </w:r>
    </w:p>
    <w:bookmarkEnd w:id="56"/>
    <w:p>
      <w:pPr>
        <w:pStyle w:val="BodyText"/>
      </w:pPr>
      <w:r>
        <w:t xml:space="preserve">Наблюдаем за присвоением адреса ДК на павловской (рис. 8).</w:t>
      </w:r>
    </w:p>
    <w:bookmarkStart w:id="60" w:name="fig:010"/>
    <w:p>
      <w:pPr>
        <w:pStyle w:val="CaptionedFigure"/>
      </w:pPr>
      <w:r>
        <w:drawing>
          <wp:inline>
            <wp:extent cx="3733800" cy="1974017"/>
            <wp:effectExtent b="0" l="0" r="0" t="0"/>
            <wp:docPr descr="Рис. 8: успешно присвоено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4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успешно присвоено</w:t>
      </w:r>
    </w:p>
    <w:bookmarkEnd w:id="60"/>
    <w:p>
      <w:pPr>
        <w:pStyle w:val="BodyText"/>
      </w:pPr>
      <w:r>
        <w:t xml:space="preserve">Отправляем тестовые пакеты (рис. 9).</w:t>
      </w:r>
    </w:p>
    <w:bookmarkStart w:id="64" w:name="fig:011"/>
    <w:p>
      <w:pPr>
        <w:pStyle w:val="CaptionedFigure"/>
      </w:pPr>
      <w:r>
        <w:drawing>
          <wp:inline>
            <wp:extent cx="3733800" cy="1003737"/>
            <wp:effectExtent b="0" l="0" r="0" t="0"/>
            <wp:docPr descr="Рис. 9: успешно отправляется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3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успешно отправляется</w:t>
      </w:r>
    </w:p>
    <w:bookmarkEnd w:id="64"/>
    <w:p>
      <w:pPr>
        <w:pStyle w:val="BodyText"/>
      </w:pPr>
      <w:r>
        <w:t xml:space="preserve">В содержимом пакета наблюдаем конкретные значения адресов (рис. 10).</w:t>
      </w:r>
    </w:p>
    <w:bookmarkStart w:id="68" w:name="fig:012"/>
    <w:p>
      <w:pPr>
        <w:pStyle w:val="CaptionedFigure"/>
      </w:pPr>
      <w:r>
        <w:drawing>
          <wp:inline>
            <wp:extent cx="3733800" cy="1679990"/>
            <wp:effectExtent b="0" l="0" r="0" t="0"/>
            <wp:docPr descr="Рис. 10: ур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ура</w:t>
      </w:r>
    </w:p>
    <w:bookmarkEnd w:id="68"/>
    <w:bookmarkEnd w:id="69"/>
    <w:bookmarkStart w:id="7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Провели подготовительную работу по первоначальной настройке коммутаторов сети.</w:t>
      </w:r>
    </w:p>
    <w:bookmarkEnd w:id="70"/>
    <w:bookmarkStart w:id="72" w:name="список-литературы"/>
    <w:p>
      <w:pPr>
        <w:pStyle w:val="Heading1"/>
      </w:pPr>
      <w:r>
        <w:t xml:space="preserve">Список литературы</w:t>
      </w:r>
    </w:p>
    <w:bookmarkStart w:id="71" w:name="refs"/>
    <w:bookmarkEnd w:id="71"/>
    <w:bookmarkEnd w:id="7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Чесноков Артемий Павлович</dc:creator>
  <dc:language>ru-RU</dc:language>
  <cp:keywords/>
  <dcterms:created xsi:type="dcterms:W3CDTF">2025-04-05T16:48:27Z</dcterms:created>
  <dcterms:modified xsi:type="dcterms:W3CDTF">2025-04-05T16:48:27Z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